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16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к государственной программе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"Развитие образования и науки Брянской области"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Порядок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предоставления субсидий бюджетам муниципальных районов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(муниципальных округов, городских округов) на создание цифровой образовательной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среды в общеобразовательных организациях Брянской области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в рамках государственной программы 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"Развитие образования и науки Брянской области"</w:t>
      </w:r>
    </w:p>
    <w:p>
      <w:pPr>
        <w:pStyle w:val="Normal"/>
        <w:spacing w:before="0" w:after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 Настоящий Порядок устанавливает цели и условия предоставления субсидии бюджетам муниципальных районов (муниципальных округов, городских округов) на создание цифровой образовательной среды в общеобразовательных организациях Брянской области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районов (городских округов) для предоставления субсидии, а также порядок отчетности об использовании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2. Субсидии предоставляются в целях достижения результата "Внедрена целевая модель цифровой образовательной среды в общеобразовательных организациях и профессиональных образовательных организациях" регионального проекта "Цифровая образовательная среда", значение которого устанавливается в соглашении о предоставлении субсидии, заключаемом в соответствии с </w:t>
      </w:r>
      <w:hyperlink w:anchor="P13112">
        <w:r>
          <w:rPr>
            <w:rFonts w:cs="Times New Roman" w:ascii="Times New Roman" w:hAnsi="Times New Roman"/>
          </w:rPr>
          <w:t>пунктом 11</w:t>
        </w:r>
      </w:hyperlink>
      <w:r>
        <w:rPr>
          <w:rFonts w:cs="Times New Roman" w:ascii="Times New Roman" w:hAnsi="Times New Roman"/>
        </w:rPr>
        <w:t xml:space="preserve"> настоящего Порядка.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5. Субсидии предоставляются при условии: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а) наличия в бюджете муниципального района (муниципального округа, городского округа)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района (муниципального округа, городского округа) из областного бюджета, утверждаемого нормативным правовым актом Правительства Брянской области;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б) заключения между департаментом и органом местного самоуправления муниципального района (муниципального округа, городского округа) соглашения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предоставления,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6. Отбор муниципальных районов (муниципальных округов, городских округов) для предоставления субсидии осуществляется исходя из перечня общеобразовательных организаций и профессиональных образовательных организаций Брянской области для внедрения целевой модели цифровой образовательной среды в 2020 - 2022 годах (далее - перечень), утвержденного нормативным правовым актом Правительства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7. Объем бюджетных ассигнований, предусмотренных в бюджетах муниципальных районов (муниципальных округов, городских округов)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района (муниципального округа, городского округа), что не влечет обязательств по увеличению размера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8. Распределение субсидии между бюджетами муниципальных районов (муниципальных округов, городских округов) утверждается законом Брянской области об областном бюджете на соответствующий финансовый год и на плановый период. Внесение изменений осуществляется в соответствии с </w:t>
      </w:r>
      <w:hyperlink r:id="rId2">
        <w:r>
          <w:rPr>
            <w:rFonts w:cs="Times New Roman" w:ascii="Times New Roman" w:hAnsi="Times New Roman"/>
          </w:rPr>
          <w:t>Законом</w:t>
        </w:r>
      </w:hyperlink>
      <w:r>
        <w:rPr>
          <w:rFonts w:cs="Times New Roman" w:ascii="Times New Roman" w:hAnsi="Times New Roman"/>
        </w:rPr>
        <w:t xml:space="preserve"> Брянской области "О межбюджетных отношениях в Брянской области".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9. Субсидии предоставляются муниципальным районам (муниципальным округам, городским округам), на территории которого находятся образовательные организации, прошедшие отбор в департаменте и согласованные Министерством просвещения Российской Федерации, в рамках заявки на участие в конкурсном отборе на предоставление субсидии из федерального бюджета.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10. Размер субсидии, предоставляемой i-му муниципальному району (муниципальному округу, городскому округу) (Si), определяется по формуле:</w:t>
      </w:r>
    </w:p>
    <w:p>
      <w:pPr>
        <w:pStyle w:val="ConsPlusNormal"/>
        <w:spacing w:before="220" w:after="0"/>
        <w:ind w:firstLine="540"/>
        <w:jc w:val="center"/>
        <w:rPr>
          <w:rFonts w:ascii="Times New Roman" w:hAnsi="Times New Roman" w:cs="Times New Roman"/>
          <w:i/>
          <w:i/>
          <w:lang w:val="en-US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S</m:t>
              </m:r>
            </m:e>
            <m:sub>
              <m:r>
                <w:rPr>
                  <w:rFonts w:ascii="Cambria Math" w:hAnsi="Cambria Math"/>
                </w:rPr>
                <m:t xml:space="preserve">i</m:t>
              </m:r>
            </m:sub>
          </m:sSub>
          <m:r>
            <w:rPr>
              <w:rFonts w:ascii="Cambria Math" w:hAnsi="Cambria Math"/>
            </w:rPr>
            <m:t xml:space="preserve">=</m:t>
          </m:r>
          <m:sSub>
            <m:e>
              <m:r>
                <w:rPr>
                  <w:rFonts w:ascii="Cambria Math" w:hAnsi="Cambria Math"/>
                </w:rPr>
                <m:t xml:space="preserve">S</m:t>
              </m:r>
            </m:e>
            <m:sub>
              <m:r>
                <w:rPr>
                  <w:rFonts w:ascii="Cambria Math" w:hAnsi="Cambria Math"/>
                </w:rPr>
                <m:t xml:space="preserve">o</m:t>
              </m:r>
            </m:sub>
          </m:sSub>
          <m:r>
            <w:rPr>
              <w:rFonts w:ascii="Cambria Math" w:hAnsi="Cambria Math"/>
            </w:rPr>
            <m:t xml:space="preserve">×</m:t>
          </m:r>
          <m:f>
            <m:num>
              <m:sSub>
                <m:e>
                  <m:r>
                    <w:rPr>
                      <w:rFonts w:ascii="Cambria Math" w:hAnsi="Cambria Math"/>
                    </w:rPr>
                    <m:t xml:space="preserve">N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</m:sub>
              </m:sSub>
              <m:r>
                <w:rPr>
                  <w:rFonts w:ascii="Cambria Math" w:hAnsi="Cambria Math"/>
                </w:rPr>
                <m:t xml:space="preserve">×</m:t>
              </m:r>
              <m:f>
                <m:fPr>
                  <m:type m:val="lin"/>
                </m:fPr>
                <m:num>
                  <m:sSub>
                    <m:e>
                      <m:r>
                        <w:rPr>
                          <w:rFonts w:ascii="Cambria Math" w:hAnsi="Cambria Math"/>
                        </w:rPr>
                        <m:t xml:space="preserve"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i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 xml:space="preserve">100</m:t>
                  </m:r>
                </m:den>
              </m:f>
            </m:num>
            <m:den>
              <m:nary>
                <m:naryPr>
                  <m:chr m:val="∑"/>
                </m:naryPr>
                <m:sub>
                  <m:r>
                    <w:rPr>
                      <w:rFonts w:ascii="Cambria Math" w:hAnsi="Cambria Math"/>
                    </w:rPr>
                    <m:t xml:space="preserve">j</m:t>
                  </m:r>
                  <m:r>
                    <w:rPr>
                      <w:rFonts w:ascii="Cambria Math" w:hAnsi="Cambria Math"/>
                    </w:rPr>
                    <m:t xml:space="preserve">=</m:t>
                  </m:r>
                  <m:r>
                    <w:rPr>
                      <w:rFonts w:ascii="Cambria Math" w:hAnsi="Cambria Math"/>
                    </w:rPr>
                    <m:t xml:space="preserve">1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m</m:t>
                  </m:r>
                </m:sup>
                <m:e/>
              </m:nary>
            </m:den>
          </m:f>
        </m:oMath>
      </m:oMathPara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Si - размер субсидии бюджету i-го муниципального района (муниципального округа, городского округа);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Sо - объем средств областного бюджета, предусмотренных на предоставление субсидии в целях достижения результата использования субсидии, на соответствующий финансовый год;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Ni - количество общеобразовательных организаций i-ого муниципального района (муниципального округа, городского округа), в которых запланировано обновление материально-технической базы для внедрения целевой модели цифровой образовательной среды в общеобразовательных организациях определяемое в соответствующем финансовом году;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Zi - предельный уровень софинансирования из областного бюджета расходного обязательства i-го муниципального района (муниципального округа, городского округа);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m - число муниципальных районов (муниципальных округов, городских округов)- получателей субсидии в соответствующем финансовом году;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j - индекс суммирования;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Nj - количество общеобразовательных организаций j-х муниципальных районов (муниципальных округов, городских округов), в которых запланировано обновление материально-технической базы для внедрения целевой модели цифровой образовательной среды в общеобразовательных организациях определяемое в соответствующем финансовом году;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Zj - предельный уровень софинансирования из областного бюджета расходного обязательства j-х муниципальных районов (муниципальных округов, городских округов).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0" w:name="P13112"/>
      <w:bookmarkEnd w:id="0"/>
      <w:r>
        <w:rPr>
          <w:rFonts w:cs="Times New Roman" w:ascii="Times New Roman" w:hAnsi="Times New Roman"/>
        </w:rPr>
        <w:t xml:space="preserve">11.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3">
        <w:r>
          <w:rPr>
            <w:rFonts w:cs="Times New Roman" w:ascii="Times New Roman" w:hAnsi="Times New Roman"/>
          </w:rPr>
          <w:t>пункта 10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При заключении соглашения орган местного самоуправления муниципального района (муниципального округа, городского округа) представляет в департамент документы, подтверждающие исполнение условий предоставления субсидии, предусмотренных </w:t>
      </w:r>
      <w:hyperlink r:id="rId4">
        <w:r>
          <w:rPr>
            <w:rFonts w:cs="Times New Roman" w:ascii="Times New Roman" w:hAnsi="Times New Roman"/>
          </w:rPr>
          <w:t>подпунктами "а"</w:t>
        </w:r>
      </w:hyperlink>
      <w:r>
        <w:rPr>
          <w:rFonts w:cs="Times New Roman" w:ascii="Times New Roman" w:hAnsi="Times New Roman"/>
        </w:rPr>
        <w:t xml:space="preserve">, </w:t>
      </w:r>
      <w:hyperlink r:id="rId5">
        <w:r>
          <w:rPr>
            <w:rFonts w:cs="Times New Roman" w:ascii="Times New Roman" w:hAnsi="Times New Roman"/>
          </w:rPr>
          <w:t>"б" пункта 8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</w:rPr>
        <w:t xml:space="preserve">12. </w:t>
      </w:r>
      <w:r>
        <w:rPr>
          <w:rFonts w:cs="Times New Roman" w:ascii="Times New Roman" w:hAnsi="Times New Roman"/>
          <w:szCs w:val="22"/>
        </w:rPr>
        <w:t>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13. </w:t>
      </w:r>
      <w:r>
        <w:rPr>
          <w:rFonts w:cs="Times New Roman" w:ascii="Times New Roman" w:hAnsi="Times New Roman"/>
          <w:szCs w:val="22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14. Объем бюджетных ассигнований бюджета муниципального района (муниципального  округа, городского округа) на финансовое обеспечение расходного обязательства муниципального района (муниципального округа, городского округа), софинансируемого за счет субсидии, утверждается решением о бюджете муниципального района (муниципального округа, городского округа) (определяется сводной бюджетной росписью бюджета муниципального района (муниципального округа, городского округа)) исходя из необходимости достижения установленных соглашением значений результатов использования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15. Перечисление субсидий осуществляется в установленном порядке на счета,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районов (муниципальных округов, городских округов).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16. Оценка эффективности использования муниципальным районом (муниципальным округом, городским округом)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17. Орган местного самоуправления муниципального района (муниципального округа, городского округа) размещает в сроки и порядке, установленные соглашением, в системе «Электронный бюджет Брянской области»: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отчет о расходах бюджета муниципального района (муниципального округа, городского округа), в целях софинансирования которых предоставлена субсидия;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отчет о достижении значения результата использования субсидии.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18. В случае если муниципальным районом (муниципальным округом, городским округом)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района (муниципального округа, городского округа)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Освобождение муниципального района (муниципального округа, городского округа) от применения мер ответственности, предусмотренных пунктом 16 Правил формирования, предоставления и распределения субсидий, в том числе возврата средств в доход областного бюджета, осуществляется в соответствии с пунктом 20 указанных Правил.</w:t>
      </w:r>
    </w:p>
    <w:p>
      <w:pPr>
        <w:pStyle w:val="ConsPlusNormal"/>
        <w:spacing w:before="220" w:after="0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19. В сл</w:t>
      </w:r>
      <w:bookmarkStart w:id="1" w:name="_GoBack"/>
      <w:bookmarkEnd w:id="1"/>
      <w:r>
        <w:rPr>
          <w:rFonts w:cs="Times New Roman" w:ascii="Times New Roman" w:hAnsi="Times New Roman"/>
          <w:szCs w:val="22"/>
        </w:rPr>
        <w:t>учае нецелевого использования субсидии муниципальным районом (муниципальным округом, городским округом) к нему применяются бюджетные меры принуждения, предусмотренные бюджетным законодательством Российской Федерации.</w:t>
      </w:r>
    </w:p>
    <w:p>
      <w:pPr>
        <w:pStyle w:val="ConsPlusNormal"/>
        <w:spacing w:before="220" w:after="0"/>
        <w:ind w:firstLine="56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Cs w:val="22"/>
        </w:rPr>
        <w:t>20. Контроль за соблюде</w:t>
      </w:r>
      <w:r>
        <w:rPr>
          <w:rFonts w:cs="Times New Roman" w:ascii="Times New Roman" w:hAnsi="Times New Roman"/>
        </w:rPr>
        <w:t>нием муниципальным районом (муниципальным округом, городским округом) условий предоставления субсидии осуществляется департаментом.</w:t>
      </w:r>
    </w:p>
    <w:sectPr>
      <w:type w:val="nextPage"/>
      <w:pgSz w:w="11906" w:h="16838"/>
      <w:pgMar w:left="1701" w:right="851" w:header="0" w:top="851" w:footer="0" w:bottom="851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bf27a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sid w:val="00bf27ab"/>
    <w:rPr>
      <w:color w:val="808080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Cell" w:customStyle="1">
    <w:name w:val="ConsPlusCel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DocList" w:customStyle="1">
    <w:name w:val="ConsPlusDoc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TitlePage" w:customStyle="1">
    <w:name w:val="ConsPlusTitlePag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paragraph" w:styleId="ConsPlusJurTerm" w:customStyle="1">
    <w:name w:val="ConsPlusJurTerm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6"/>
      <w:szCs w:val="20"/>
      <w:lang w:eastAsia="ru-RU" w:val="ru-RU" w:bidi="ar-SA"/>
    </w:rPr>
  </w:style>
  <w:style w:type="paragraph" w:styleId="ConsPlusTextList" w:customStyle="1">
    <w:name w:val="ConsPlusText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bf27ab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d7e5a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96459022ABE20A108D85BEE2D3621143054DC5C34EB627EA0B6C35846B7A5EF7567D56887C1E679CEB92C6F040A7EEAEs8qEF" TargetMode="External"/><Relationship Id="rId3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4" Type="http://schemas.openxmlformats.org/officeDocument/2006/relationships/hyperlink" Target="consultantplus://offline/ref=96459022ABE20A108D85BEE2D3621143054DC5C34EB520EB0F6C35846B7A5EF7567D569A7C466B9DE88CC4F4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4F555F1BFE8DB7976766ECB33022F6DD0sAq0F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LibreOffice/7.0.1.2$Windows_X86_64 LibreOffice_project/7cbcfc562f6eb6708b5ff7d7397325de9e764452</Application>
  <Pages>3</Pages>
  <Words>1116</Words>
  <Characters>9043</Characters>
  <CharactersWithSpaces>10118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2020-10-13T14:19:00Z</dcterms:created>
  <dc:creator>User</dc:creator>
  <dc:description/>
  <dc:language>ru-RU</dc:language>
  <cp:lastModifiedBy>User</cp:lastModifiedBy>
  <dcterms:modified xsi:type="dcterms:W3CDTF">2021-10-12T12:29:00Z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